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BF375" w14:textId="77777777" w:rsidR="00B27C38" w:rsidRDefault="00B27C38"/>
    <w:p w14:paraId="38EDE3C7" w14:textId="19482130" w:rsidR="0062691E" w:rsidRDefault="0062691E">
      <w:r w:rsidRPr="007417F2">
        <w:rPr>
          <w:noProof/>
        </w:rPr>
        <w:drawing>
          <wp:inline distT="0" distB="0" distL="0" distR="0" wp14:anchorId="7F2DE462" wp14:editId="1E9F7B6A">
            <wp:extent cx="5715000" cy="1428750"/>
            <wp:effectExtent l="0" t="0" r="0" b="0"/>
            <wp:docPr id="725593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1428750"/>
                    </a:xfrm>
                    <a:prstGeom prst="rect">
                      <a:avLst/>
                    </a:prstGeom>
                    <a:noFill/>
                    <a:ln>
                      <a:noFill/>
                    </a:ln>
                  </pic:spPr>
                </pic:pic>
              </a:graphicData>
            </a:graphic>
          </wp:inline>
        </w:drawing>
      </w:r>
    </w:p>
    <w:p w14:paraId="2CA946C6" w14:textId="1918DEC3" w:rsidR="002C3C9F" w:rsidRPr="006C6DAC" w:rsidRDefault="006C6DAC" w:rsidP="006C6DAC">
      <w:pPr>
        <w:pStyle w:val="Title"/>
        <w:spacing w:before="360"/>
        <w:contextualSpacing w:val="0"/>
        <w:jc w:val="center"/>
        <w:rPr>
          <w:color w:val="0F4761"/>
        </w:rPr>
      </w:pPr>
      <w:r>
        <w:rPr>
          <w:b/>
          <w:bCs/>
          <w:color w:val="0F4761"/>
        </w:rPr>
        <w:t>CITEP KNOWLEDGE SERIES</w:t>
      </w:r>
    </w:p>
    <w:p w14:paraId="750CD425" w14:textId="26212E20" w:rsidR="002C3C9F" w:rsidRPr="004B462B" w:rsidRDefault="004B462B">
      <w:pPr>
        <w:pStyle w:val="Subtitle"/>
        <w:jc w:val="center"/>
        <w:rPr>
          <w:color w:val="C55A11"/>
        </w:rPr>
      </w:pPr>
      <w:bookmarkStart w:id="0" w:name="X4132a44660040af125eb13978f465747c6e4def"/>
      <w:r>
        <w:rPr>
          <w:b/>
          <w:bCs/>
          <w:color w:val="C55A11"/>
        </w:rPr>
        <w:t>From Information to Implementation</w:t>
      </w:r>
    </w:p>
    <w:p w14:paraId="083394D1" w14:textId="4036777A" w:rsidR="002C3C9F" w:rsidRPr="00F422BC" w:rsidRDefault="00F422BC" w:rsidP="00F422BC">
      <w:pPr>
        <w:pStyle w:val="Heading2"/>
        <w:jc w:val="center"/>
        <w:rPr>
          <w:rFonts w:cstheme="minorBidi"/>
          <w:color w:val="0F4761"/>
        </w:rPr>
      </w:pPr>
      <w:bookmarkStart w:id="1" w:name="X0aebcc143c02496d67c8079b7a51578a41c5e30"/>
      <w:bookmarkEnd w:id="0"/>
      <w:r>
        <w:rPr>
          <w:rFonts w:cstheme="minorBidi"/>
          <w:color w:val="0F4761"/>
        </w:rPr>
        <w:t>A Practical Knowledge Resource for</w:t>
      </w:r>
      <w:r w:rsidR="002C3C9F" w:rsidRPr="00F422BC">
        <w:rPr>
          <w:rFonts w:cstheme="minorBidi"/>
          <w:color w:val="0F4761"/>
        </w:rPr>
        <w:t xml:space="preserve"> </w:t>
      </w:r>
      <w:r w:rsidR="00B26FEC" w:rsidRPr="006A7CC1">
        <w:rPr>
          <w:b/>
          <w:bCs/>
          <w:color w:val="C00000"/>
        </w:rPr>
        <w:t xml:space="preserve">Industries </w:t>
      </w:r>
      <w:r w:rsidR="00B821D3">
        <w:rPr>
          <w:b/>
          <w:bCs/>
          <w:color w:val="C00000"/>
        </w:rPr>
        <w:t xml:space="preserve">and Trade Related </w:t>
      </w:r>
      <w:r w:rsidR="002C3C9F" w:rsidRPr="00F422BC">
        <w:rPr>
          <w:rFonts w:cstheme="minorBidi"/>
          <w:color w:val="0F4761"/>
        </w:rPr>
        <w:t xml:space="preserve">Government Departments </w:t>
      </w:r>
      <w:r>
        <w:rPr>
          <w:rFonts w:cstheme="minorBidi"/>
          <w:color w:val="0F4761"/>
        </w:rPr>
        <w:t>&amp;</w:t>
      </w:r>
      <w:r w:rsidR="002C3C9F" w:rsidRPr="00F422BC">
        <w:rPr>
          <w:rFonts w:cstheme="minorBidi"/>
          <w:color w:val="0F4761"/>
        </w:rPr>
        <w:t xml:space="preserve"> District Industries Centres</w:t>
      </w:r>
      <w:r w:rsidR="00D64DDE">
        <w:rPr>
          <w:rFonts w:cstheme="minorBidi"/>
          <w:color w:val="0F4761"/>
        </w:rPr>
        <w:t xml:space="preserve">, </w:t>
      </w:r>
      <w:r w:rsidR="00D64DDE" w:rsidRPr="006A7CC1">
        <w:rPr>
          <w:b/>
          <w:bCs/>
          <w:color w:val="C00000"/>
        </w:rPr>
        <w:t>Trade Promotion Agencies, Skill Development agencies</w:t>
      </w:r>
    </w:p>
    <w:p w14:paraId="09BC6B2C" w14:textId="77777777" w:rsidR="00F422BC" w:rsidRDefault="00F422BC">
      <w:pPr>
        <w:jc w:val="center"/>
        <w:rPr>
          <w:lang w:eastAsia="en-IN"/>
        </w:rPr>
      </w:pPr>
      <w:r>
        <w:rPr>
          <w:noProof/>
        </w:rPr>
        <w:drawing>
          <wp:inline distT="0" distB="0" distL="0" distR="0" wp14:anchorId="1C6831A8" wp14:editId="1D842DF1">
            <wp:extent cx="5731510" cy="3821007"/>
            <wp:effectExtent l="0" t="0" r="2540" b="8255"/>
            <wp:docPr id="1" name="Picture 1" descr="District-level entrepreneurs and institutional advisors discussing business development, with manufacturing and export activity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trict-level entrepreneurs and institutional advisors discussing business development, with manufacturing and export activity in the backgrou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821007"/>
                    </a:xfrm>
                    <a:prstGeom prst="rect">
                      <a:avLst/>
                    </a:prstGeom>
                    <a:noFill/>
                    <a:ln>
                      <a:noFill/>
                    </a:ln>
                  </pic:spPr>
                </pic:pic>
              </a:graphicData>
            </a:graphic>
          </wp:inline>
        </w:drawing>
      </w:r>
    </w:p>
    <w:p w14:paraId="3DE0D5B1" w14:textId="67ACB560" w:rsidR="002C3C9F" w:rsidRPr="005063E9" w:rsidRDefault="002C3C9F" w:rsidP="005063E9">
      <w:pPr>
        <w:pStyle w:val="Heading1"/>
        <w:spacing w:before="160"/>
        <w:jc w:val="center"/>
        <w:rPr>
          <w:rFonts w:asciiTheme="minorHAnsi" w:hAnsiTheme="minorHAnsi" w:cstheme="minorBidi"/>
          <w:color w:val="C55A11"/>
        </w:rPr>
      </w:pPr>
      <w:r w:rsidRPr="005063E9">
        <w:rPr>
          <w:rFonts w:asciiTheme="minorHAnsi" w:hAnsiTheme="minorHAnsi" w:cstheme="minorBidi"/>
          <w:color w:val="C55A11"/>
        </w:rPr>
        <w:lastRenderedPageBreak/>
        <w:t xml:space="preserve">Strengthening District-Level Entrepreneurship and MSME </w:t>
      </w:r>
      <w:r w:rsidR="005063E9">
        <w:rPr>
          <w:rFonts w:asciiTheme="minorHAnsi" w:hAnsiTheme="minorHAnsi" w:cstheme="minorBidi"/>
          <w:color w:val="C55A11"/>
        </w:rPr>
        <w:t>Growth</w:t>
      </w:r>
    </w:p>
    <w:p w14:paraId="7572B0E1" w14:textId="6A35EAAD" w:rsidR="002C3C9F" w:rsidRPr="00ED5C5D" w:rsidRDefault="002C3C9F">
      <w:pPr>
        <w:pStyle w:val="FirstParagraph"/>
        <w:jc w:val="center"/>
        <w:rPr>
          <w:color w:val="404040"/>
          <w:sz w:val="26"/>
          <w:szCs w:val="26"/>
        </w:rPr>
      </w:pPr>
      <w:bookmarkStart w:id="2" w:name="why-this-knowledge-series"/>
      <w:bookmarkEnd w:id="1"/>
      <w:r>
        <w:rPr>
          <w:b/>
          <w:bCs/>
          <w:color w:val="404040"/>
          <w:sz w:val="26"/>
          <w:szCs w:val="26"/>
        </w:rPr>
        <w:t xml:space="preserve">Equip entrepreneurs with the clarity, direction and practical knowledge needed to </w:t>
      </w:r>
      <w:r w:rsidR="003130FF">
        <w:rPr>
          <w:b/>
          <w:bCs/>
          <w:color w:val="404040"/>
          <w:sz w:val="26"/>
          <w:szCs w:val="26"/>
        </w:rPr>
        <w:t>build</w:t>
      </w:r>
      <w:r>
        <w:rPr>
          <w:b/>
          <w:bCs/>
          <w:color w:val="404040"/>
          <w:sz w:val="26"/>
          <w:szCs w:val="26"/>
        </w:rPr>
        <w:t xml:space="preserve"> viable enterprises</w:t>
      </w:r>
      <w:r w:rsidR="003130FF">
        <w:rPr>
          <w:b/>
          <w:bCs/>
          <w:color w:val="404040"/>
          <w:sz w:val="26"/>
          <w:szCs w:val="26"/>
        </w:rPr>
        <w:t>, access wider markets and become export-ready</w:t>
      </w:r>
      <w:r>
        <w:rPr>
          <w:b/>
          <w:bCs/>
          <w:color w:val="404040"/>
          <w:sz w:val="26"/>
          <w:szCs w:val="26"/>
        </w:rPr>
        <w:t>.</w:t>
      </w:r>
    </w:p>
    <w:p w14:paraId="4BF88FD0" w14:textId="555E4A90" w:rsidR="002C3C9F" w:rsidRDefault="002C3C9F">
      <w:r>
        <w:t>Government institutions play a decisive role in building inclusive local economies</w:t>
      </w:r>
      <w:r w:rsidR="006F6376">
        <w:t xml:space="preserve"> and connecting district enterprises to national and international markets.</w:t>
      </w:r>
      <w:r>
        <w:t xml:space="preserve"> The CITEP Knowledge Series complements this mission with a structured, action-oriented resource that </w:t>
      </w:r>
      <w:r w:rsidR="006F6376">
        <w:t>brings together</w:t>
      </w:r>
      <w:r>
        <w:t xml:space="preserve"> information on </w:t>
      </w:r>
      <w:r w:rsidR="006F6376">
        <w:t xml:space="preserve">enterprise opportunities, </w:t>
      </w:r>
      <w:r>
        <w:t xml:space="preserve">schemes, finance, technology, </w:t>
      </w:r>
      <w:r w:rsidR="006F6376">
        <w:t xml:space="preserve">domestic markets, export </w:t>
      </w:r>
      <w:r>
        <w:t>procedures</w:t>
      </w:r>
      <w:r w:rsidR="006F6376">
        <w:t xml:space="preserve"> and buyer access</w:t>
      </w:r>
      <w:r>
        <w:t>—helping officials guide aspiring and existing entrepreneurs from first enquiry to informed action</w:t>
      </w:r>
      <w:r w:rsidR="006F6376">
        <w:t xml:space="preserve"> and export readiness</w:t>
      </w:r>
      <w:r>
        <w:t>.</w:t>
      </w:r>
    </w:p>
    <w:p w14:paraId="19B203F1" w14:textId="0BB1AA0E" w:rsidR="002C3C9F" w:rsidRPr="00CC6E59" w:rsidRDefault="002C3C9F" w:rsidP="00CC6E59">
      <w:pPr>
        <w:pStyle w:val="Heading2"/>
        <w:rPr>
          <w:rFonts w:cstheme="minorBidi"/>
          <w:color w:val="0F4761"/>
        </w:rPr>
      </w:pPr>
      <w:r w:rsidRPr="00CC6E59">
        <w:rPr>
          <w:rFonts w:cstheme="minorBidi"/>
          <w:color w:val="0F4761"/>
        </w:rPr>
        <w:t xml:space="preserve">Why </w:t>
      </w:r>
      <w:r w:rsidR="00CC6E59">
        <w:rPr>
          <w:rFonts w:cstheme="minorBidi"/>
          <w:color w:val="0F4761"/>
        </w:rPr>
        <w:t>the CITEP</w:t>
      </w:r>
      <w:r w:rsidRPr="00CC6E59">
        <w:rPr>
          <w:rFonts w:cstheme="minorBidi"/>
          <w:color w:val="0F4761"/>
        </w:rPr>
        <w:t xml:space="preserve"> Knowledge Series?</w:t>
      </w:r>
    </w:p>
    <w:p w14:paraId="5D4E052C" w14:textId="2B88EE17" w:rsidR="002C3C9F" w:rsidRDefault="002704AA">
      <w:r>
        <w:t>Entrepreneurs often receive useful inputs from several agencies, portals and programmes, but may still be uncertain about relevance, feasibility and next steps. CITEP brings these inputs into one practical learning journey.</w:t>
      </w:r>
    </w:p>
    <w:p w14:paraId="152953E9" w14:textId="25B4B370" w:rsidR="002C3C9F" w:rsidRDefault="00B834E5">
      <w:r>
        <w:rPr>
          <w:b/>
          <w:bCs/>
        </w:rPr>
        <w:t>Each topic is designed to help an entrepreneur answer five essential questions:</w:t>
      </w:r>
    </w:p>
    <w:tbl>
      <w:tblPr>
        <w:tblStyle w:val="GridTable4-Accent1"/>
        <w:tblW w:w="5000" w:type="pct"/>
        <w:tblLook w:val="04A0" w:firstRow="1" w:lastRow="0" w:firstColumn="1" w:lastColumn="0" w:noHBand="0" w:noVBand="1"/>
      </w:tblPr>
      <w:tblGrid>
        <w:gridCol w:w="4242"/>
        <w:gridCol w:w="4774"/>
      </w:tblGrid>
      <w:tr w:rsidR="00043F80" w14:paraId="7F3A6D7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F4761"/>
            <w:hideMark/>
          </w:tcPr>
          <w:p w14:paraId="6D572926" w14:textId="77777777" w:rsidR="00043F80" w:rsidRDefault="00043F80">
            <w:pPr>
              <w:spacing w:after="160"/>
              <w:rPr>
                <w:color w:val="FFFFFF"/>
                <w:lang w:eastAsia="en-IN"/>
              </w:rPr>
            </w:pPr>
            <w:r>
              <w:rPr>
                <w:color w:val="FFFFFF"/>
              </w:rPr>
              <w:t>1. Opportunity</w:t>
            </w:r>
            <w:r>
              <w:rPr>
                <w:color w:val="FFFFFF"/>
              </w:rPr>
              <w:br/>
              <w:t>What is the business potential?</w:t>
            </w:r>
          </w:p>
        </w:tc>
        <w:tc>
          <w:tcPr>
            <w:tcW w:w="0" w:type="auto"/>
            <w:hideMark/>
          </w:tcPr>
          <w:p w14:paraId="43D28B65" w14:textId="77777777" w:rsidR="00043F80" w:rsidRDefault="00043F80">
            <w:pPr>
              <w:spacing w:after="160"/>
              <w:cnfStyle w:val="100000000000" w:firstRow="1" w:lastRow="0" w:firstColumn="0" w:lastColumn="0" w:oddVBand="0" w:evenVBand="0" w:oddHBand="0" w:evenHBand="0" w:firstRowFirstColumn="0" w:firstRowLastColumn="0" w:lastRowFirstColumn="0" w:lastRowLastColumn="0"/>
            </w:pPr>
            <w:r>
              <w:t>2. Suitability</w:t>
            </w:r>
            <w:r>
              <w:br/>
              <w:t>Does it fit the entrepreneur and district context?</w:t>
            </w:r>
          </w:p>
        </w:tc>
      </w:tr>
      <w:tr w:rsidR="00043F80" w14:paraId="47E6BEF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857A63" w14:textId="77777777" w:rsidR="00043F80" w:rsidRDefault="00043F80">
            <w:pPr>
              <w:spacing w:after="160"/>
            </w:pPr>
            <w:r>
              <w:t>3. Requirements</w:t>
            </w:r>
            <w:r>
              <w:br/>
              <w:t>What inputs, skills, approvals and investment are needed?</w:t>
            </w:r>
          </w:p>
        </w:tc>
        <w:tc>
          <w:tcPr>
            <w:tcW w:w="0" w:type="auto"/>
            <w:shd w:val="clear" w:color="auto" w:fill="EAF3F6"/>
            <w:hideMark/>
          </w:tcPr>
          <w:p w14:paraId="3EB52F5C" w14:textId="77777777" w:rsidR="00043F80" w:rsidRDefault="00043F80">
            <w:pPr>
              <w:spacing w:after="160"/>
              <w:cnfStyle w:val="000000100000" w:firstRow="0" w:lastRow="0" w:firstColumn="0" w:lastColumn="0" w:oddVBand="0" w:evenVBand="0" w:oddHBand="1" w:evenHBand="0" w:firstRowFirstColumn="0" w:firstRowLastColumn="0" w:lastRowFirstColumn="0" w:lastRowLastColumn="0"/>
            </w:pPr>
            <w:r>
              <w:rPr>
                <w:b/>
                <w:bCs/>
              </w:rPr>
              <w:t>4. Support</w:t>
            </w:r>
            <w:r>
              <w:br/>
              <w:t>Where can finance, technology and institutional guidance be accessed?</w:t>
            </w:r>
          </w:p>
        </w:tc>
      </w:tr>
      <w:tr w:rsidR="00043F80" w14:paraId="616E19CB" w14:textId="77777777">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FFF2CC"/>
            <w:hideMark/>
          </w:tcPr>
          <w:p w14:paraId="7A386B02" w14:textId="77777777" w:rsidR="00043F80" w:rsidRDefault="00043F80">
            <w:pPr>
              <w:spacing w:after="160"/>
              <w:jc w:val="center"/>
            </w:pPr>
            <w:r>
              <w:t>5. Next Step</w:t>
            </w:r>
            <w:r>
              <w:br/>
              <w:t>What practical action should be taken now?</w:t>
            </w:r>
          </w:p>
        </w:tc>
      </w:tr>
    </w:tbl>
    <w:p w14:paraId="37A4CAA1" w14:textId="77777777" w:rsidR="00043F80" w:rsidRDefault="00043F80">
      <w:pPr>
        <w:rPr>
          <w:lang w:eastAsia="en-IN"/>
        </w:rPr>
      </w:pPr>
    </w:p>
    <w:p w14:paraId="1AB31A9E" w14:textId="76F23F1E" w:rsidR="002C3C9F" w:rsidRDefault="002544F2">
      <w:bookmarkStart w:id="3" w:name="major-areas-covered"/>
      <w:bookmarkEnd w:id="2"/>
      <w:r>
        <w:t>The result is a clearer pathway from awareness to evaluation, preparation and enterprise creation.</w:t>
      </w:r>
    </w:p>
    <w:p w14:paraId="6410D006" w14:textId="6A57B63E" w:rsidR="002C3C9F" w:rsidRPr="002D7FEA" w:rsidRDefault="002D7FEA" w:rsidP="002D7FEA">
      <w:pPr>
        <w:pStyle w:val="Heading2"/>
        <w:rPr>
          <w:rFonts w:cstheme="minorBidi"/>
          <w:color w:val="0F4761"/>
        </w:rPr>
      </w:pPr>
      <w:r>
        <w:rPr>
          <w:rFonts w:cstheme="minorBidi"/>
          <w:color w:val="0F4761"/>
        </w:rPr>
        <w:t>A Comprehensive Knowledge Portfolio</w:t>
      </w:r>
    </w:p>
    <w:p w14:paraId="516AFCC9" w14:textId="77777777" w:rsidR="006A6CC5" w:rsidRDefault="006A6CC5" w:rsidP="006A6CC5">
      <w:pPr>
        <w:pStyle w:val="ListParagraph"/>
        <w:numPr>
          <w:ilvl w:val="0"/>
          <w:numId w:val="1"/>
        </w:numPr>
      </w:pPr>
      <w:bookmarkStart w:id="4" w:name="institutional-value"/>
      <w:bookmarkEnd w:id="3"/>
      <w:r w:rsidRPr="006A6CC5">
        <w:rPr>
          <w:b/>
          <w:bCs/>
        </w:rPr>
        <w:t>Enterprise Opportunity:</w:t>
      </w:r>
      <w:r>
        <w:t xml:space="preserve"> entrepreneurship, nano and MSME opportunities, product ideas and district potential.</w:t>
      </w:r>
    </w:p>
    <w:p w14:paraId="10707FEB" w14:textId="77777777" w:rsidR="006A6CC5" w:rsidRDefault="006A6CC5" w:rsidP="006A6CC5">
      <w:pPr>
        <w:pStyle w:val="ListParagraph"/>
        <w:numPr>
          <w:ilvl w:val="0"/>
          <w:numId w:val="1"/>
        </w:numPr>
      </w:pPr>
      <w:r>
        <w:rPr>
          <w:b/>
          <w:bCs/>
        </w:rPr>
        <w:t>Technology &amp; Value Addition:</w:t>
      </w:r>
      <w:r>
        <w:t xml:space="preserve"> processes, know-how, innovation, product development and quality improvement.</w:t>
      </w:r>
    </w:p>
    <w:p w14:paraId="46E80621" w14:textId="4AD189BF" w:rsidR="002C3C9F" w:rsidRPr="003659C4" w:rsidRDefault="003659C4" w:rsidP="003659C4">
      <w:pPr>
        <w:pStyle w:val="ListParagraph"/>
        <w:numPr>
          <w:ilvl w:val="0"/>
          <w:numId w:val="1"/>
        </w:numPr>
      </w:pPr>
      <w:r>
        <w:rPr>
          <w:b/>
          <w:bCs/>
        </w:rPr>
        <w:t>Domestic Markets &amp; Export Development:</w:t>
      </w:r>
      <w:r>
        <w:t xml:space="preserve"> market selection, export potential assessment, product adaptation, quality and packaging, pricing, documentation, logistics, buyer discovery, digital trade channels and export-readiness planning.</w:t>
      </w:r>
    </w:p>
    <w:p w14:paraId="4E3FFCD3" w14:textId="77777777" w:rsidR="006A6CC5" w:rsidRDefault="006A6CC5" w:rsidP="006A6CC5">
      <w:pPr>
        <w:pStyle w:val="ListParagraph"/>
        <w:numPr>
          <w:ilvl w:val="0"/>
          <w:numId w:val="1"/>
        </w:numPr>
      </w:pPr>
      <w:r>
        <w:rPr>
          <w:b/>
          <w:bCs/>
        </w:rPr>
        <w:t>Finance &amp; Support:</w:t>
      </w:r>
      <w:r>
        <w:t xml:space="preserve"> business finance, grants, concessions, institutional assistance and relevant support mechanisms.</w:t>
      </w:r>
    </w:p>
    <w:p w14:paraId="07D30685" w14:textId="77777777" w:rsidR="006A6CC5" w:rsidRDefault="006A6CC5" w:rsidP="006A6CC5">
      <w:pPr>
        <w:pStyle w:val="ListParagraph"/>
        <w:numPr>
          <w:ilvl w:val="0"/>
          <w:numId w:val="1"/>
        </w:numPr>
      </w:pPr>
      <w:r>
        <w:rPr>
          <w:b/>
          <w:bCs/>
        </w:rPr>
        <w:t>Planning &amp; Implementation:</w:t>
      </w:r>
      <w:r>
        <w:t xml:space="preserve"> business planning, approvals, procedures, marketing and action sequencing.</w:t>
      </w:r>
    </w:p>
    <w:p w14:paraId="5CB04AA9" w14:textId="77777777" w:rsidR="003659C4" w:rsidRDefault="003659C4">
      <w:pPr>
        <w:pStyle w:val="Heading2"/>
        <w:rPr>
          <w:rFonts w:cstheme="minorBidi"/>
          <w:color w:val="C55A11"/>
          <w:lang w:eastAsia="en-IN"/>
        </w:rPr>
      </w:pPr>
      <w:r>
        <w:rPr>
          <w:rFonts w:cstheme="minorBidi"/>
          <w:color w:val="C55A11"/>
        </w:rPr>
        <w:lastRenderedPageBreak/>
        <w:t>Export Development: From Local Enterprise to Global Market</w:t>
      </w:r>
    </w:p>
    <w:p w14:paraId="02D487C5" w14:textId="77777777" w:rsidR="003659C4" w:rsidRDefault="003659C4">
      <w:pPr>
        <w:rPr>
          <w:lang w:eastAsia="en-IN"/>
        </w:rPr>
      </w:pPr>
      <w:r>
        <w:t>Exporting can create new demand, improve competitiveness and expand the growth horizon of district enterprises. Yet many MSMEs need practical guidance to judge whether their product is exportable, identify suitable markets, meet buyer expectations and navigate procedures. CITEP converts this complex journey into clear, manageable stages.</w:t>
      </w:r>
    </w:p>
    <w:tbl>
      <w:tblPr>
        <w:tblStyle w:val="GridTable4-Accent1"/>
        <w:tblW w:w="5000" w:type="pct"/>
        <w:tblLook w:val="04A0" w:firstRow="1" w:lastRow="0" w:firstColumn="1" w:lastColumn="0" w:noHBand="0" w:noVBand="1"/>
      </w:tblPr>
      <w:tblGrid>
        <w:gridCol w:w="4653"/>
        <w:gridCol w:w="4363"/>
      </w:tblGrid>
      <w:tr w:rsidR="003659C4" w14:paraId="044B83F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F4761"/>
            <w:hideMark/>
          </w:tcPr>
          <w:p w14:paraId="5CF42D7E" w14:textId="77777777" w:rsidR="003659C4" w:rsidRDefault="003659C4">
            <w:pPr>
              <w:spacing w:after="160"/>
              <w:rPr>
                <w:color w:val="FFFFFF"/>
                <w:lang w:eastAsia="en-IN"/>
              </w:rPr>
            </w:pPr>
            <w:r>
              <w:rPr>
                <w:color w:val="FFFFFF"/>
              </w:rPr>
              <w:t>1. Assess Export Potential</w:t>
            </w:r>
            <w:r>
              <w:rPr>
                <w:color w:val="FFFFFF"/>
              </w:rPr>
              <w:br/>
              <w:t>Evaluate product suitability, production capacity, value proposition and target-market potential.</w:t>
            </w:r>
          </w:p>
        </w:tc>
        <w:tc>
          <w:tcPr>
            <w:tcW w:w="0" w:type="auto"/>
            <w:shd w:val="clear" w:color="auto" w:fill="EAF3F6"/>
            <w:hideMark/>
          </w:tcPr>
          <w:p w14:paraId="1E823582" w14:textId="77777777" w:rsidR="003659C4" w:rsidRPr="003E28CD" w:rsidRDefault="003659C4">
            <w:pPr>
              <w:spacing w:after="160"/>
              <w:cnfStyle w:val="100000000000" w:firstRow="1" w:lastRow="0" w:firstColumn="0" w:lastColumn="0" w:oddVBand="0" w:evenVBand="0" w:oddHBand="0" w:evenHBand="0" w:firstRowFirstColumn="0" w:firstRowLastColumn="0" w:lastRowFirstColumn="0" w:lastRowLastColumn="0"/>
              <w:rPr>
                <w:color w:val="000000" w:themeColor="text1"/>
              </w:rPr>
            </w:pPr>
            <w:r w:rsidRPr="003E28CD">
              <w:rPr>
                <w:color w:val="000000" w:themeColor="text1"/>
              </w:rPr>
              <w:t>2. Prepare the Product</w:t>
            </w:r>
            <w:r w:rsidRPr="003E28CD">
              <w:rPr>
                <w:color w:val="000000" w:themeColor="text1"/>
              </w:rPr>
              <w:br/>
              <w:t>Understand quality, standards, certification, labelling, packaging and buyer-specific requirements.</w:t>
            </w:r>
          </w:p>
        </w:tc>
      </w:tr>
      <w:tr w:rsidR="003659C4" w14:paraId="56C3A0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hideMark/>
          </w:tcPr>
          <w:p w14:paraId="60113B25" w14:textId="77777777" w:rsidR="003659C4" w:rsidRDefault="003659C4">
            <w:pPr>
              <w:spacing w:after="160"/>
            </w:pPr>
            <w:r>
              <w:t>3. Identify Markets &amp; Buyers</w:t>
            </w:r>
            <w:r>
              <w:br/>
              <w:t>Use market intelligence, trade data, digital platforms, exhibitions and institutional networks to locate opportunities.</w:t>
            </w:r>
          </w:p>
        </w:tc>
        <w:tc>
          <w:tcPr>
            <w:tcW w:w="0" w:type="auto"/>
            <w:hideMark/>
          </w:tcPr>
          <w:p w14:paraId="1016D3AF" w14:textId="77777777" w:rsidR="003659C4" w:rsidRDefault="003659C4">
            <w:pPr>
              <w:spacing w:after="160"/>
              <w:cnfStyle w:val="000000100000" w:firstRow="0" w:lastRow="0" w:firstColumn="0" w:lastColumn="0" w:oddVBand="0" w:evenVBand="0" w:oddHBand="1" w:evenHBand="0" w:firstRowFirstColumn="0" w:firstRowLastColumn="0" w:lastRowFirstColumn="0" w:lastRowLastColumn="0"/>
            </w:pPr>
            <w:r>
              <w:rPr>
                <w:b/>
                <w:bCs/>
              </w:rPr>
              <w:t>4. Plan Pricing &amp; Finance</w:t>
            </w:r>
            <w:r>
              <w:br/>
              <w:t>Consider export costing, quotations, payment terms, working capital, risk protection and available financial support.</w:t>
            </w:r>
          </w:p>
        </w:tc>
      </w:tr>
      <w:tr w:rsidR="003659C4" w14:paraId="2A59DA87"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EAF3F6"/>
            <w:hideMark/>
          </w:tcPr>
          <w:p w14:paraId="29FF1248" w14:textId="77777777" w:rsidR="003659C4" w:rsidRDefault="003659C4">
            <w:pPr>
              <w:spacing w:after="160"/>
            </w:pPr>
            <w:r>
              <w:t>5. Navigate Procedures</w:t>
            </w:r>
            <w:r>
              <w:br/>
              <w:t>Build awareness of registrations, documentation, customs, logistics, shipping and applicable compliance.</w:t>
            </w:r>
          </w:p>
        </w:tc>
        <w:tc>
          <w:tcPr>
            <w:tcW w:w="0" w:type="auto"/>
            <w:shd w:val="clear" w:color="auto" w:fill="C55A11"/>
            <w:hideMark/>
          </w:tcPr>
          <w:p w14:paraId="396D1F63" w14:textId="77777777" w:rsidR="003659C4" w:rsidRDefault="003659C4">
            <w:pPr>
              <w:spacing w:after="160"/>
              <w:cnfStyle w:val="000000000000" w:firstRow="0" w:lastRow="0" w:firstColumn="0" w:lastColumn="0" w:oddVBand="0" w:evenVBand="0" w:oddHBand="0" w:evenHBand="0" w:firstRowFirstColumn="0" w:firstRowLastColumn="0" w:lastRowFirstColumn="0" w:lastRowLastColumn="0"/>
              <w:rPr>
                <w:color w:val="FFFFFF"/>
              </w:rPr>
            </w:pPr>
            <w:r>
              <w:rPr>
                <w:b/>
                <w:bCs/>
                <w:color w:val="FFFFFF"/>
              </w:rPr>
              <w:t>6. Enter &amp; Grow</w:t>
            </w:r>
            <w:r>
              <w:rPr>
                <w:color w:val="FFFFFF"/>
              </w:rPr>
              <w:br/>
              <w:t>Develop an export action plan, begin with achievable orders, learn from the market and scale responsibly.</w:t>
            </w:r>
          </w:p>
        </w:tc>
      </w:tr>
    </w:tbl>
    <w:p w14:paraId="290653B2" w14:textId="77777777" w:rsidR="003659C4" w:rsidRDefault="003659C4">
      <w:pPr>
        <w:rPr>
          <w:lang w:eastAsia="en-IN"/>
        </w:rPr>
      </w:pPr>
    </w:p>
    <w:p w14:paraId="14EE84F4" w14:textId="77777777" w:rsidR="003659C4" w:rsidRDefault="003659C4">
      <w:pPr>
        <w:shd w:val="clear" w:color="auto" w:fill="EAF3F6"/>
        <w:rPr>
          <w:color w:val="0F4761"/>
          <w:lang w:eastAsia="en-IN"/>
        </w:rPr>
      </w:pPr>
      <w:r>
        <w:rPr>
          <w:b/>
          <w:bCs/>
          <w:color w:val="0F4761"/>
        </w:rPr>
        <w:t>For Government Departments and DICs:</w:t>
      </w:r>
      <w:r>
        <w:rPr>
          <w:color w:val="0F4761"/>
        </w:rPr>
        <w:t xml:space="preserve"> This export module can support export-awareness programmes, identification of export-capable district products, first-time exporter counselling, cluster and sector initiatives, buyer–seller engagement, referral to specialised agencies, and the preparation of district enterprises for domestic and international trade opportunities.</w:t>
      </w:r>
    </w:p>
    <w:p w14:paraId="606CACE1" w14:textId="0903A37A" w:rsidR="006A6CC5" w:rsidRDefault="000121A6">
      <w:pPr>
        <w:jc w:val="center"/>
        <w:rPr>
          <w:lang w:eastAsia="en-IN"/>
        </w:rPr>
      </w:pPr>
      <w:r>
        <w:rPr>
          <w:noProof/>
          <w:lang w:eastAsia="en-IN"/>
        </w:rPr>
        <w:drawing>
          <wp:inline distT="0" distB="0" distL="0" distR="0" wp14:anchorId="41C8307A" wp14:editId="60AA86D6">
            <wp:extent cx="5731510" cy="1780540"/>
            <wp:effectExtent l="0" t="0" r="2540" b="0"/>
            <wp:docPr id="1914363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780540"/>
                    </a:xfrm>
                    <a:prstGeom prst="rect">
                      <a:avLst/>
                    </a:prstGeom>
                    <a:noFill/>
                    <a:ln>
                      <a:noFill/>
                    </a:ln>
                  </pic:spPr>
                </pic:pic>
              </a:graphicData>
            </a:graphic>
          </wp:inline>
        </w:drawing>
      </w:r>
    </w:p>
    <w:p w14:paraId="34281540" w14:textId="7434FF63" w:rsidR="002C3C9F" w:rsidRPr="003E0120" w:rsidRDefault="003E0120" w:rsidP="003E0120">
      <w:pPr>
        <w:pStyle w:val="Heading2"/>
        <w:rPr>
          <w:rFonts w:cstheme="minorBidi"/>
          <w:color w:val="0F4761"/>
        </w:rPr>
      </w:pPr>
      <w:r>
        <w:rPr>
          <w:rFonts w:cstheme="minorBidi"/>
          <w:color w:val="0F4761"/>
        </w:rPr>
        <w:t>Value for Government Departments &amp; DICs</w:t>
      </w:r>
    </w:p>
    <w:p w14:paraId="00C404AE" w14:textId="5EA4F943" w:rsidR="002C3C9F" w:rsidRDefault="003F383F">
      <w:r>
        <w:t>Use the Knowledge Series as a ready reference to enrich district-level outreach, counselling and enterprise promotion. It can support officials, trainers and facilitation teams in delivering consistent, practical and opportunity-focused guidance.</w:t>
      </w:r>
    </w:p>
    <w:p w14:paraId="0EDA301A" w14:textId="77777777" w:rsidR="00C675BF" w:rsidRDefault="00C675BF" w:rsidP="00C675BF">
      <w:pPr>
        <w:pStyle w:val="ListParagraph"/>
        <w:numPr>
          <w:ilvl w:val="0"/>
          <w:numId w:val="1"/>
        </w:numPr>
      </w:pPr>
      <w:bookmarkStart w:id="5" w:name="citeps-approach"/>
      <w:bookmarkEnd w:id="4"/>
      <w:r>
        <w:t>Awareness and entrepreneurship development programmes</w:t>
      </w:r>
    </w:p>
    <w:p w14:paraId="63740313" w14:textId="77777777" w:rsidR="00C675BF" w:rsidRDefault="00C675BF" w:rsidP="00C675BF">
      <w:pPr>
        <w:pStyle w:val="ListParagraph"/>
        <w:numPr>
          <w:ilvl w:val="0"/>
          <w:numId w:val="1"/>
        </w:numPr>
      </w:pPr>
      <w:r>
        <w:t>MSME and nano-enterprise orientation sessions</w:t>
      </w:r>
    </w:p>
    <w:p w14:paraId="74A6E17E" w14:textId="77777777" w:rsidR="00C675BF" w:rsidRDefault="00C675BF" w:rsidP="00C675BF">
      <w:pPr>
        <w:pStyle w:val="ListParagraph"/>
        <w:numPr>
          <w:ilvl w:val="0"/>
          <w:numId w:val="1"/>
        </w:numPr>
      </w:pPr>
      <w:r>
        <w:t>District opportunity and business promotion initiatives</w:t>
      </w:r>
    </w:p>
    <w:p w14:paraId="412586B3" w14:textId="163B9A6A" w:rsidR="002C3C9F" w:rsidRPr="00521DB9" w:rsidRDefault="00521DB9" w:rsidP="00521DB9">
      <w:pPr>
        <w:pStyle w:val="ListParagraph"/>
        <w:numPr>
          <w:ilvl w:val="0"/>
          <w:numId w:val="1"/>
        </w:numPr>
      </w:pPr>
      <w:r>
        <w:rPr>
          <w:b/>
          <w:bCs/>
        </w:rPr>
        <w:t>Export promotion and readiness programmes</w:t>
      </w:r>
      <w:r>
        <w:t xml:space="preserve"> covering product potential, standards, market intelligence, buyer discovery, documentation, logistics and first-export planning</w:t>
      </w:r>
    </w:p>
    <w:p w14:paraId="57AD5878" w14:textId="77777777" w:rsidR="00C675BF" w:rsidRDefault="00C675BF" w:rsidP="00C675BF">
      <w:pPr>
        <w:pStyle w:val="ListParagraph"/>
        <w:numPr>
          <w:ilvl w:val="0"/>
          <w:numId w:val="1"/>
        </w:numPr>
      </w:pPr>
      <w:r>
        <w:t>One-to-one entrepreneur counselling and referral support</w:t>
      </w:r>
    </w:p>
    <w:p w14:paraId="3027CC76" w14:textId="77777777" w:rsidR="00C675BF" w:rsidRDefault="00C675BF" w:rsidP="00C675BF">
      <w:pPr>
        <w:pStyle w:val="ListParagraph"/>
        <w:numPr>
          <w:ilvl w:val="0"/>
          <w:numId w:val="1"/>
        </w:numPr>
      </w:pPr>
      <w:r>
        <w:t>Capacity-building for field-level facilitation teams</w:t>
      </w:r>
    </w:p>
    <w:p w14:paraId="5E72888F" w14:textId="7052A23A" w:rsidR="002C3C9F" w:rsidRPr="00AE3035" w:rsidRDefault="00AE3035" w:rsidP="00AE3035">
      <w:pPr>
        <w:pStyle w:val="Heading2"/>
        <w:rPr>
          <w:rFonts w:cstheme="minorBidi"/>
          <w:color w:val="0F4761"/>
        </w:rPr>
      </w:pPr>
      <w:r>
        <w:rPr>
          <w:rFonts w:cstheme="minorBidi"/>
          <w:color w:val="0F4761"/>
        </w:rPr>
        <w:lastRenderedPageBreak/>
        <w:t>The CITEP Action Pathway</w:t>
      </w:r>
    </w:p>
    <w:p w14:paraId="6AEDC0CB" w14:textId="3300257A" w:rsidR="002C3C9F" w:rsidRPr="00156E6C" w:rsidRDefault="002C3C9F">
      <w:pPr>
        <w:shd w:val="clear" w:color="auto" w:fill="0F4761"/>
        <w:jc w:val="center"/>
        <w:rPr>
          <w:color w:val="FFFFFF"/>
          <w:sz w:val="28"/>
          <w:szCs w:val="28"/>
        </w:rPr>
      </w:pPr>
      <w:bookmarkStart w:id="6" w:name="subscription"/>
      <w:bookmarkEnd w:id="5"/>
      <w:r w:rsidRPr="001B19CC">
        <w:rPr>
          <w:b/>
          <w:color w:val="FFFFFF"/>
          <w:sz w:val="26"/>
          <w:szCs w:val="26"/>
        </w:rPr>
        <w:t xml:space="preserve">KNOWLEDGE → OPPORTUNITY → EVALUATION → </w:t>
      </w:r>
      <w:r w:rsidR="001B19CC">
        <w:rPr>
          <w:b/>
          <w:bCs/>
          <w:color w:val="FFFFFF"/>
          <w:sz w:val="26"/>
          <w:szCs w:val="26"/>
        </w:rPr>
        <w:t>MARKET ACCESS → EXPORT READINESS</w:t>
      </w:r>
      <w:r w:rsidRPr="001B19CC">
        <w:rPr>
          <w:b/>
          <w:color w:val="FFFFFF"/>
          <w:sz w:val="26"/>
          <w:szCs w:val="26"/>
        </w:rPr>
        <w:t xml:space="preserve"> → ENTERPRISE</w:t>
      </w:r>
      <w:r w:rsidR="001B19CC">
        <w:rPr>
          <w:b/>
          <w:bCs/>
          <w:color w:val="FFFFFF"/>
          <w:sz w:val="26"/>
          <w:szCs w:val="26"/>
        </w:rPr>
        <w:t xml:space="preserve"> GROWTH</w:t>
      </w:r>
    </w:p>
    <w:p w14:paraId="3E0A2CB3" w14:textId="210BCCE9" w:rsidR="002C3C9F" w:rsidRDefault="002C3C9F">
      <w:r>
        <w:t xml:space="preserve">CITEP helps stakeholders move beyond merely knowing that an opportunity exists. </w:t>
      </w:r>
      <w:r w:rsidR="003E28CD">
        <w:t>The emphasis is on evaluating feasibility, preparing the product and enterprise, accessing appropriate support, identifying markets and buyers, understanding export requirements and taking the next informed step towards sustainable growth.</w:t>
      </w:r>
    </w:p>
    <w:p w14:paraId="276199BC" w14:textId="0382E34A" w:rsidR="002C3C9F" w:rsidRPr="000851CA" w:rsidRDefault="000851CA" w:rsidP="000851CA">
      <w:pPr>
        <w:pStyle w:val="Heading2"/>
        <w:rPr>
          <w:rFonts w:cstheme="minorBidi"/>
          <w:color w:val="0F4761"/>
        </w:rPr>
      </w:pPr>
      <w:r>
        <w:rPr>
          <w:rFonts w:cstheme="minorBidi"/>
          <w:color w:val="0F4761"/>
        </w:rPr>
        <w:t xml:space="preserve">Institutional </w:t>
      </w:r>
      <w:r w:rsidR="002C3C9F" w:rsidRPr="000851CA">
        <w:rPr>
          <w:rFonts w:cstheme="minorBidi"/>
          <w:color w:val="0F4761"/>
        </w:rPr>
        <w:t>Subscription</w:t>
      </w:r>
    </w:p>
    <w:tbl>
      <w:tblPr>
        <w:tblStyle w:val="GridTable4-Accent1"/>
        <w:tblW w:w="5000" w:type="pct"/>
        <w:tblLook w:val="04A0" w:firstRow="1" w:lastRow="0" w:firstColumn="1" w:lastColumn="0" w:noHBand="0" w:noVBand="1"/>
      </w:tblPr>
      <w:tblGrid>
        <w:gridCol w:w="3710"/>
        <w:gridCol w:w="5306"/>
      </w:tblGrid>
      <w:tr w:rsidR="00336C90" w14:paraId="5081227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F4761"/>
            <w:hideMark/>
          </w:tcPr>
          <w:p w14:paraId="1FD2E6D1" w14:textId="77777777" w:rsidR="00336C90" w:rsidRDefault="00336C90">
            <w:pPr>
              <w:jc w:val="center"/>
              <w:rPr>
                <w:color w:val="FFFFFF"/>
                <w:lang w:eastAsia="en-IN"/>
              </w:rPr>
            </w:pPr>
            <w:bookmarkStart w:id="7" w:name="important-note"/>
            <w:bookmarkEnd w:id="6"/>
            <w:r>
              <w:rPr>
                <w:color w:val="FFFFFF"/>
              </w:rPr>
              <w:t>FIRST YEAR</w:t>
            </w:r>
            <w:r>
              <w:rPr>
                <w:color w:val="FFFFFF"/>
              </w:rPr>
              <w:br/>
            </w:r>
            <w:r>
              <w:rPr>
                <w:color w:val="FFFFFF"/>
                <w:sz w:val="36"/>
                <w:szCs w:val="36"/>
              </w:rPr>
              <w:t>₹10,000</w:t>
            </w:r>
          </w:p>
        </w:tc>
        <w:tc>
          <w:tcPr>
            <w:tcW w:w="0" w:type="auto"/>
            <w:shd w:val="clear" w:color="auto" w:fill="C55A11"/>
            <w:hideMark/>
          </w:tcPr>
          <w:p w14:paraId="78EDA934" w14:textId="77777777" w:rsidR="00336C90" w:rsidRDefault="00336C90">
            <w:pPr>
              <w:jc w:val="center"/>
              <w:cnfStyle w:val="100000000000" w:firstRow="1" w:lastRow="0" w:firstColumn="0" w:lastColumn="0" w:oddVBand="0" w:evenVBand="0" w:oddHBand="0" w:evenHBand="0" w:firstRowFirstColumn="0" w:firstRowLastColumn="0" w:lastRowFirstColumn="0" w:lastRowLastColumn="0"/>
              <w:rPr>
                <w:color w:val="FFFFFF"/>
              </w:rPr>
            </w:pPr>
            <w:r>
              <w:rPr>
                <w:color w:val="FFFFFF"/>
              </w:rPr>
              <w:t>ANNUAL RENEWAL</w:t>
            </w:r>
            <w:r>
              <w:rPr>
                <w:color w:val="FFFFFF"/>
              </w:rPr>
              <w:br/>
            </w:r>
            <w:r>
              <w:rPr>
                <w:color w:val="FFFFFF"/>
                <w:sz w:val="36"/>
                <w:szCs w:val="36"/>
              </w:rPr>
              <w:t>₹2,500</w:t>
            </w:r>
          </w:p>
        </w:tc>
      </w:tr>
    </w:tbl>
    <w:p w14:paraId="5885999E" w14:textId="77777777" w:rsidR="00336C90" w:rsidRDefault="00336C90">
      <w:pPr>
        <w:rPr>
          <w:lang w:eastAsia="en-IN"/>
        </w:rPr>
      </w:pPr>
    </w:p>
    <w:p w14:paraId="2B407B44" w14:textId="1812F459" w:rsidR="002C3C9F" w:rsidRPr="00D249B0" w:rsidRDefault="002C3C9F" w:rsidP="00D249B0">
      <w:pPr>
        <w:pStyle w:val="Heading3"/>
        <w:rPr>
          <w:rFonts w:cstheme="minorBidi"/>
          <w:color w:val="C55A11"/>
        </w:rPr>
      </w:pPr>
      <w:r w:rsidRPr="00D249B0">
        <w:rPr>
          <w:rFonts w:cstheme="minorBidi"/>
          <w:color w:val="C55A11"/>
        </w:rPr>
        <w:t xml:space="preserve">Important </w:t>
      </w:r>
      <w:r w:rsidR="00D249B0">
        <w:rPr>
          <w:rFonts w:cstheme="minorBidi"/>
          <w:color w:val="C55A11"/>
        </w:rPr>
        <w:t>Information</w:t>
      </w:r>
    </w:p>
    <w:bookmarkEnd w:id="7"/>
    <w:p w14:paraId="63C5AEFA" w14:textId="56C43DCF" w:rsidR="002C3C9F" w:rsidRPr="005B0857" w:rsidRDefault="002C3C9F">
      <w:pPr>
        <w:rPr>
          <w:color w:val="595959"/>
          <w:sz w:val="18"/>
          <w:szCs w:val="18"/>
        </w:rPr>
      </w:pPr>
      <w:r>
        <w:t xml:space="preserve">CITEP provides knowledge resources and facilitation-oriented information. </w:t>
      </w:r>
      <w:r w:rsidR="005B0857">
        <w:rPr>
          <w:color w:val="595959"/>
          <w:sz w:val="18"/>
          <w:szCs w:val="18"/>
        </w:rPr>
        <w:t>Eligibility, availability and approval of government</w:t>
      </w:r>
      <w:r>
        <w:t xml:space="preserve"> schemes, subsidies, grants, finance</w:t>
      </w:r>
      <w:r w:rsidR="005B0857">
        <w:rPr>
          <w:color w:val="595959"/>
          <w:sz w:val="18"/>
          <w:szCs w:val="18"/>
        </w:rPr>
        <w:t>, concessions</w:t>
      </w:r>
      <w:r>
        <w:t xml:space="preserve"> and other benefits </w:t>
      </w:r>
      <w:r w:rsidR="005B0857">
        <w:rPr>
          <w:color w:val="595959"/>
          <w:sz w:val="18"/>
          <w:szCs w:val="18"/>
        </w:rPr>
        <w:t>remain subject to the rules, procedures and decisions of</w:t>
      </w:r>
      <w:r>
        <w:t xml:space="preserve"> the respective authorities.</w:t>
      </w:r>
    </w:p>
    <w:p w14:paraId="31D68D67" w14:textId="1AF7947B" w:rsidR="002C3C9F" w:rsidRPr="00717A33" w:rsidRDefault="00717A33" w:rsidP="00717A33">
      <w:pPr>
        <w:pStyle w:val="Heading2"/>
        <w:jc w:val="center"/>
        <w:rPr>
          <w:rFonts w:cstheme="minorBidi"/>
          <w:color w:val="0F4761"/>
        </w:rPr>
      </w:pPr>
      <w:r>
        <w:rPr>
          <w:rFonts w:cstheme="minorBidi"/>
          <w:color w:val="0F4761"/>
        </w:rPr>
        <w:t>Bring Practical Enterprise Knowledge to Your District</w:t>
      </w:r>
    </w:p>
    <w:p w14:paraId="0EFB876E" w14:textId="60C29CD5" w:rsidR="002C3C9F" w:rsidRDefault="002C3C9F">
      <w:pPr>
        <w:jc w:val="center"/>
      </w:pPr>
      <w:r>
        <w:t xml:space="preserve">Government Departments </w:t>
      </w:r>
      <w:r w:rsidR="008548FF">
        <w:rPr>
          <w:b/>
          <w:bCs/>
        </w:rPr>
        <w:t>and</w:t>
      </w:r>
      <w:r>
        <w:t xml:space="preserve"> DICs </w:t>
      </w:r>
      <w:r w:rsidR="008548FF">
        <w:rPr>
          <w:b/>
          <w:bCs/>
        </w:rPr>
        <w:t>are invited to</w:t>
      </w:r>
      <w:r>
        <w:t xml:space="preserve"> complete the CITEP Knowledge Series Registration Form</w:t>
      </w:r>
      <w:r w:rsidR="008548FF">
        <w:rPr>
          <w:b/>
          <w:bCs/>
        </w:rPr>
        <w:t xml:space="preserve"> for institutional subscription</w:t>
      </w:r>
      <w:r>
        <w:t>.</w:t>
      </w:r>
    </w:p>
    <w:p w14:paraId="628746B9" w14:textId="4B7FA5DA" w:rsidR="002C3C9F" w:rsidRPr="00E10B14" w:rsidRDefault="002C3C9F">
      <w:pPr>
        <w:shd w:val="clear" w:color="auto" w:fill="EAF3F6"/>
        <w:jc w:val="center"/>
        <w:rPr>
          <w:color w:val="0F4761"/>
        </w:rPr>
      </w:pPr>
      <w:r>
        <w:rPr>
          <w:b/>
          <w:bCs/>
        </w:rPr>
        <w:t>CITEP</w:t>
      </w:r>
      <w:r>
        <w:br/>
      </w:r>
      <w:r>
        <w:rPr>
          <w:b/>
          <w:bCs/>
        </w:rPr>
        <w:t>Centre for Indian Trade and Export Promotion</w:t>
      </w:r>
      <w:r>
        <w:br/>
      </w:r>
      <w:r>
        <w:rPr>
          <w:b/>
          <w:bCs/>
        </w:rPr>
        <w:t>Beyond Information. Towards Implementation.</w:t>
      </w:r>
    </w:p>
    <w:p w14:paraId="7AB11726" w14:textId="77777777" w:rsidR="005C34CB" w:rsidRDefault="005C34CB" w:rsidP="005C34CB"/>
    <w:p w14:paraId="61735B64" w14:textId="77777777" w:rsidR="005C34CB" w:rsidRDefault="005C34CB"/>
    <w:sectPr w:rsidR="005C34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9092A9A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34B41470"/>
    <w:multiLevelType w:val="multilevel"/>
    <w:tmpl w:val="9C3A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396E97"/>
    <w:multiLevelType w:val="multilevel"/>
    <w:tmpl w:val="D702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6414E1"/>
    <w:multiLevelType w:val="multilevel"/>
    <w:tmpl w:val="7FC2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E442BC"/>
    <w:multiLevelType w:val="multilevel"/>
    <w:tmpl w:val="C1C4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2559313">
    <w:abstractNumId w:val="0"/>
  </w:num>
  <w:num w:numId="2" w16cid:durableId="227811915">
    <w:abstractNumId w:val="1"/>
  </w:num>
  <w:num w:numId="3" w16cid:durableId="1706566443">
    <w:abstractNumId w:val="2"/>
  </w:num>
  <w:num w:numId="4" w16cid:durableId="400710753">
    <w:abstractNumId w:val="3"/>
  </w:num>
  <w:num w:numId="5" w16cid:durableId="8276682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4CB"/>
    <w:rsid w:val="000121A6"/>
    <w:rsid w:val="00043F80"/>
    <w:rsid w:val="000851CA"/>
    <w:rsid w:val="00156E6C"/>
    <w:rsid w:val="001B19CC"/>
    <w:rsid w:val="002544F2"/>
    <w:rsid w:val="002704AA"/>
    <w:rsid w:val="002D7FEA"/>
    <w:rsid w:val="003130FF"/>
    <w:rsid w:val="00336C90"/>
    <w:rsid w:val="003659C4"/>
    <w:rsid w:val="003E0120"/>
    <w:rsid w:val="003E28CD"/>
    <w:rsid w:val="003F383F"/>
    <w:rsid w:val="00414E15"/>
    <w:rsid w:val="0049284E"/>
    <w:rsid w:val="004B462B"/>
    <w:rsid w:val="005063E9"/>
    <w:rsid w:val="00521DB9"/>
    <w:rsid w:val="005B0857"/>
    <w:rsid w:val="005C34CB"/>
    <w:rsid w:val="005D783E"/>
    <w:rsid w:val="0062691E"/>
    <w:rsid w:val="006A6CC5"/>
    <w:rsid w:val="006C6DAC"/>
    <w:rsid w:val="006C7C9A"/>
    <w:rsid w:val="006F6376"/>
    <w:rsid w:val="00717A33"/>
    <w:rsid w:val="008548FF"/>
    <w:rsid w:val="008A3A49"/>
    <w:rsid w:val="00AE3035"/>
    <w:rsid w:val="00B26FEC"/>
    <w:rsid w:val="00B27C38"/>
    <w:rsid w:val="00B821D3"/>
    <w:rsid w:val="00B834E5"/>
    <w:rsid w:val="00BE2D79"/>
    <w:rsid w:val="00C675BF"/>
    <w:rsid w:val="00CC6E59"/>
    <w:rsid w:val="00D206A2"/>
    <w:rsid w:val="00D249B0"/>
    <w:rsid w:val="00D64DDE"/>
    <w:rsid w:val="00E10B14"/>
    <w:rsid w:val="00ED5C5D"/>
    <w:rsid w:val="00F422B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24838"/>
  <w15:chartTrackingRefBased/>
  <w15:docId w15:val="{F7DD01BB-5C6C-4A1A-8CD2-98B78A3F7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4CB"/>
  </w:style>
  <w:style w:type="paragraph" w:styleId="Heading1">
    <w:name w:val="heading 1"/>
    <w:basedOn w:val="Normal"/>
    <w:next w:val="Normal"/>
    <w:link w:val="Heading1Char"/>
    <w:uiPriority w:val="9"/>
    <w:qFormat/>
    <w:rsid w:val="005C34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C34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34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34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34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34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4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4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4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4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4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4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4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34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34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4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4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4CB"/>
    <w:rPr>
      <w:rFonts w:eastAsiaTheme="majorEastAsia" w:cstheme="majorBidi"/>
      <w:color w:val="272727" w:themeColor="text1" w:themeTint="D8"/>
    </w:rPr>
  </w:style>
  <w:style w:type="paragraph" w:styleId="Title">
    <w:name w:val="Title"/>
    <w:basedOn w:val="Normal"/>
    <w:next w:val="Normal"/>
    <w:link w:val="TitleChar"/>
    <w:uiPriority w:val="10"/>
    <w:qFormat/>
    <w:rsid w:val="005C34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4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4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4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4CB"/>
    <w:pPr>
      <w:spacing w:before="160"/>
      <w:jc w:val="center"/>
    </w:pPr>
    <w:rPr>
      <w:i/>
      <w:iCs/>
      <w:color w:val="404040" w:themeColor="text1" w:themeTint="BF"/>
    </w:rPr>
  </w:style>
  <w:style w:type="character" w:customStyle="1" w:styleId="QuoteChar">
    <w:name w:val="Quote Char"/>
    <w:basedOn w:val="DefaultParagraphFont"/>
    <w:link w:val="Quote"/>
    <w:uiPriority w:val="29"/>
    <w:rsid w:val="005C34CB"/>
    <w:rPr>
      <w:i/>
      <w:iCs/>
      <w:color w:val="404040" w:themeColor="text1" w:themeTint="BF"/>
    </w:rPr>
  </w:style>
  <w:style w:type="paragraph" w:styleId="ListParagraph">
    <w:name w:val="List Paragraph"/>
    <w:basedOn w:val="Normal"/>
    <w:uiPriority w:val="34"/>
    <w:qFormat/>
    <w:rsid w:val="005C34CB"/>
    <w:pPr>
      <w:ind w:left="720"/>
      <w:contextualSpacing/>
    </w:pPr>
  </w:style>
  <w:style w:type="character" w:styleId="IntenseEmphasis">
    <w:name w:val="Intense Emphasis"/>
    <w:basedOn w:val="DefaultParagraphFont"/>
    <w:uiPriority w:val="21"/>
    <w:qFormat/>
    <w:rsid w:val="005C34CB"/>
    <w:rPr>
      <w:i/>
      <w:iCs/>
      <w:color w:val="0F4761" w:themeColor="accent1" w:themeShade="BF"/>
    </w:rPr>
  </w:style>
  <w:style w:type="paragraph" w:styleId="IntenseQuote">
    <w:name w:val="Intense Quote"/>
    <w:basedOn w:val="Normal"/>
    <w:next w:val="Normal"/>
    <w:link w:val="IntenseQuoteChar"/>
    <w:uiPriority w:val="30"/>
    <w:qFormat/>
    <w:rsid w:val="005C34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34CB"/>
    <w:rPr>
      <w:i/>
      <w:iCs/>
      <w:color w:val="0F4761" w:themeColor="accent1" w:themeShade="BF"/>
    </w:rPr>
  </w:style>
  <w:style w:type="character" w:styleId="IntenseReference">
    <w:name w:val="Intense Reference"/>
    <w:basedOn w:val="DefaultParagraphFont"/>
    <w:uiPriority w:val="32"/>
    <w:qFormat/>
    <w:rsid w:val="005C34CB"/>
    <w:rPr>
      <w:b/>
      <w:bCs/>
      <w:smallCaps/>
      <w:color w:val="0F4761" w:themeColor="accent1" w:themeShade="BF"/>
      <w:spacing w:val="5"/>
    </w:rPr>
  </w:style>
  <w:style w:type="paragraph" w:styleId="BodyText">
    <w:name w:val="Body Text"/>
    <w:basedOn w:val="Normal"/>
    <w:link w:val="BodyTextChar"/>
    <w:qFormat/>
    <w:rsid w:val="005C34CB"/>
    <w:pPr>
      <w:spacing w:before="180" w:after="180" w:line="240" w:lineRule="auto"/>
    </w:pPr>
    <w:rPr>
      <w:rFonts w:eastAsiaTheme="minorEastAsia"/>
      <w:kern w:val="0"/>
      <w:sz w:val="24"/>
      <w:szCs w:val="24"/>
      <w:lang w:val="en-US" w:eastAsia="zh-CN"/>
      <w14:ligatures w14:val="none"/>
    </w:rPr>
  </w:style>
  <w:style w:type="character" w:customStyle="1" w:styleId="BodyTextChar">
    <w:name w:val="Body Text Char"/>
    <w:basedOn w:val="DefaultParagraphFont"/>
    <w:link w:val="BodyText"/>
    <w:rsid w:val="005C34CB"/>
    <w:rPr>
      <w:rFonts w:eastAsiaTheme="minorEastAsia"/>
      <w:kern w:val="0"/>
      <w:sz w:val="24"/>
      <w:szCs w:val="24"/>
      <w:lang w:val="en-US" w:eastAsia="zh-CN"/>
      <w14:ligatures w14:val="none"/>
    </w:rPr>
  </w:style>
  <w:style w:type="paragraph" w:customStyle="1" w:styleId="FirstParagraph">
    <w:name w:val="First Paragraph"/>
    <w:basedOn w:val="BodyText"/>
    <w:next w:val="BodyText"/>
    <w:qFormat/>
    <w:rsid w:val="005C34CB"/>
  </w:style>
  <w:style w:type="paragraph" w:customStyle="1" w:styleId="Compact">
    <w:name w:val="Compact"/>
    <w:basedOn w:val="BodyText"/>
    <w:qFormat/>
    <w:rsid w:val="005C34CB"/>
    <w:pPr>
      <w:spacing w:before="36" w:after="36"/>
    </w:pPr>
  </w:style>
  <w:style w:type="character" w:styleId="BookTitle">
    <w:name w:val="Book Title"/>
    <w:basedOn w:val="DefaultParagraphFont"/>
    <w:uiPriority w:val="33"/>
    <w:qFormat/>
    <w:rsid w:val="005C34CB"/>
    <w:rPr>
      <w:b/>
      <w:bCs/>
      <w:i/>
      <w:iCs/>
      <w:spacing w:val="5"/>
    </w:rPr>
  </w:style>
  <w:style w:type="paragraph" w:styleId="Caption">
    <w:name w:val="caption"/>
    <w:basedOn w:val="Normal"/>
    <w:next w:val="Normal"/>
    <w:uiPriority w:val="35"/>
    <w:semiHidden/>
    <w:unhideWhenUsed/>
    <w:qFormat/>
    <w:rsid w:val="005C34CB"/>
    <w:pPr>
      <w:spacing w:after="200" w:line="240" w:lineRule="auto"/>
    </w:pPr>
    <w:rPr>
      <w:i/>
      <w:iCs/>
      <w:color w:val="0E2841" w:themeColor="text2"/>
      <w:sz w:val="18"/>
      <w:szCs w:val="18"/>
    </w:rPr>
  </w:style>
  <w:style w:type="character" w:styleId="Emphasis">
    <w:name w:val="Emphasis"/>
    <w:basedOn w:val="DefaultParagraphFont"/>
    <w:uiPriority w:val="20"/>
    <w:qFormat/>
    <w:rsid w:val="005C34CB"/>
    <w:rPr>
      <w:i/>
      <w:iCs/>
    </w:rPr>
  </w:style>
  <w:style w:type="paragraph" w:styleId="NoSpacing">
    <w:name w:val="No Spacing"/>
    <w:uiPriority w:val="1"/>
    <w:qFormat/>
    <w:rsid w:val="005C34CB"/>
    <w:pPr>
      <w:spacing w:after="0" w:line="240" w:lineRule="auto"/>
    </w:pPr>
  </w:style>
  <w:style w:type="character" w:styleId="Strong">
    <w:name w:val="Strong"/>
    <w:basedOn w:val="DefaultParagraphFont"/>
    <w:uiPriority w:val="22"/>
    <w:qFormat/>
    <w:rsid w:val="005C34CB"/>
    <w:rPr>
      <w:b/>
      <w:bCs/>
    </w:rPr>
  </w:style>
  <w:style w:type="character" w:styleId="SubtleEmphasis">
    <w:name w:val="Subtle Emphasis"/>
    <w:basedOn w:val="DefaultParagraphFont"/>
    <w:uiPriority w:val="19"/>
    <w:qFormat/>
    <w:rsid w:val="005C34CB"/>
    <w:rPr>
      <w:i/>
      <w:iCs/>
      <w:color w:val="404040" w:themeColor="text1" w:themeTint="BF"/>
    </w:rPr>
  </w:style>
  <w:style w:type="character" w:styleId="SubtleReference">
    <w:name w:val="Subtle Reference"/>
    <w:basedOn w:val="DefaultParagraphFont"/>
    <w:uiPriority w:val="31"/>
    <w:qFormat/>
    <w:rsid w:val="005C34CB"/>
    <w:rPr>
      <w:smallCaps/>
      <w:color w:val="5A5A5A" w:themeColor="text1" w:themeTint="A5"/>
    </w:rPr>
  </w:style>
  <w:style w:type="paragraph" w:styleId="TOCHeading">
    <w:name w:val="TOC Heading"/>
    <w:basedOn w:val="Heading1"/>
    <w:next w:val="Normal"/>
    <w:uiPriority w:val="39"/>
    <w:semiHidden/>
    <w:unhideWhenUsed/>
    <w:qFormat/>
    <w:rsid w:val="005C34CB"/>
    <w:pPr>
      <w:spacing w:before="240" w:after="0"/>
      <w:outlineLvl w:val="9"/>
    </w:pPr>
    <w:rPr>
      <w:sz w:val="32"/>
      <w:szCs w:val="32"/>
    </w:rPr>
  </w:style>
  <w:style w:type="paragraph" w:styleId="NormalWeb">
    <w:name w:val="Normal (Web)"/>
    <w:basedOn w:val="Normal"/>
    <w:uiPriority w:val="99"/>
    <w:semiHidden/>
    <w:unhideWhenUsed/>
    <w:rsid w:val="005C34CB"/>
    <w:pPr>
      <w:spacing w:before="100" w:beforeAutospacing="1" w:after="100" w:afterAutospacing="1" w:line="240" w:lineRule="auto"/>
    </w:pPr>
    <w:rPr>
      <w:rFonts w:ascii="Times New Roman" w:hAnsi="Times New Roman" w:cs="Times New Roman"/>
      <w:sz w:val="24"/>
      <w:szCs w:val="24"/>
      <w:lang w:eastAsia="en-IN"/>
    </w:rPr>
  </w:style>
  <w:style w:type="table" w:styleId="GridTable4-Accent1">
    <w:name w:val="Grid Table 4 Accent 1"/>
    <w:basedOn w:val="TableNormal"/>
    <w:uiPriority w:val="49"/>
    <w:rsid w:val="00B834E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ASOKAN RAJA</dc:creator>
  <cp:keywords/>
  <dc:description/>
  <cp:lastModifiedBy>ASOKAN RAJA</cp:lastModifiedBy>
  <cp:revision>7</cp:revision>
  <dcterms:created xsi:type="dcterms:W3CDTF">2026-09-13T14:14:00Z</dcterms:created>
  <dcterms:modified xsi:type="dcterms:W3CDTF">2026-09-14T03:49:00Z</dcterms:modified>
</cp:coreProperties>
</file>